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0176E2">
        <w:rPr>
          <w:rFonts w:ascii="MS Shell Dlg 2" w:hAnsi="MS Shell Dlg 2" w:cs="MS Shell Dlg 2"/>
          <w:noProof/>
          <w:sz w:val="40"/>
          <w:szCs w:val="40"/>
          <w:u w:val="single"/>
        </w:rPr>
        <w:t>Humidité</w:t>
      </w:r>
      <w:r w:rsidR="00513B6C">
        <w:rPr>
          <w:rFonts w:ascii="MS Shell Dlg 2" w:hAnsi="MS Shell Dlg 2" w:cs="MS Shell Dlg 2"/>
          <w:noProof/>
          <w:sz w:val="40"/>
          <w:szCs w:val="40"/>
          <w:u w:val="single"/>
        </w:rPr>
        <w:t xml:space="preserve"> du </w:t>
      </w:r>
      <w:r w:rsidR="000176E2">
        <w:rPr>
          <w:rFonts w:ascii="MS Shell Dlg 2" w:hAnsi="MS Shell Dlg 2" w:cs="MS Shell Dlg 2"/>
          <w:noProof/>
          <w:sz w:val="40"/>
          <w:szCs w:val="40"/>
          <w:u w:val="single"/>
        </w:rPr>
        <w:t>sable</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0176E2" w:rsidRDefault="000176E2" w:rsidP="000176E2">
      <w:r>
        <w:t>Dans l</w:t>
      </w:r>
      <w:r w:rsidRPr="000176E2">
        <w:rPr>
          <w:rFonts w:cs="Times New Roman"/>
        </w:rPr>
        <w:t>es exigences de formulation</w:t>
      </w:r>
      <w:r>
        <w:t>, le projeteur a demandé la note de calcul avec la composition pondérale humide, soit la prise en compte de l’eau contenue dans les granulats. Cela impose de connaitre la teneur en eau du sable utilisé dans la composition du béton.</w:t>
      </w:r>
    </w:p>
    <w:p w:rsidR="000E0511" w:rsidRDefault="000E0511" w:rsidP="000E0511">
      <w:r>
        <w:t>Cette teneur en eau est exprimée en %. Ainsi, si un sable a une teneur en humidité de 7,5%, la valeur indiquée dans le champ de texte sera de 7,5.</w:t>
      </w:r>
    </w:p>
    <w:p w:rsidR="000176E2" w:rsidRDefault="000176E2" w:rsidP="000176E2">
      <w:r>
        <w:t>Cela permet d’apporter les corrections suivantes :</w:t>
      </w:r>
    </w:p>
    <w:p w:rsidR="000176E2" w:rsidRDefault="000176E2" w:rsidP="000176E2">
      <w:pPr>
        <w:pStyle w:val="Paragraphedeliste"/>
        <w:numPr>
          <w:ilvl w:val="0"/>
          <w:numId w:val="17"/>
        </w:numPr>
        <w:jc w:val="both"/>
      </w:pPr>
      <w:r>
        <w:t>Masse totale du sable sec : 200 kg</w:t>
      </w:r>
    </w:p>
    <w:p w:rsidR="000176E2" w:rsidRDefault="000176E2" w:rsidP="000176E2">
      <w:pPr>
        <w:pStyle w:val="Paragraphedeliste"/>
        <w:numPr>
          <w:ilvl w:val="0"/>
          <w:numId w:val="17"/>
        </w:numPr>
        <w:jc w:val="both"/>
      </w:pPr>
      <w:r>
        <w:t>Teneur en humidité du sable : 10%</w:t>
      </w:r>
    </w:p>
    <w:p w:rsidR="000176E2" w:rsidRDefault="000176E2" w:rsidP="000176E2">
      <w:pPr>
        <w:pStyle w:val="Paragraphedeliste"/>
        <w:numPr>
          <w:ilvl w:val="0"/>
          <w:numId w:val="17"/>
        </w:numPr>
        <w:jc w:val="both"/>
      </w:pPr>
      <w:r>
        <w:t>Masse totale du sable humide à la teneur indiquée ci-dessus : 200 kg de sable sec + 20 litres d’eau = 220 kg de sable humide à la teneur de 10%</w:t>
      </w:r>
    </w:p>
    <w:p w:rsidR="00077F70" w:rsidRDefault="00077F70" w:rsidP="00077F70">
      <w:r>
        <w:t>Pour rappel :</w:t>
      </w:r>
    </w:p>
    <w:tbl>
      <w:tblPr>
        <w:tblStyle w:val="Grilledutableau"/>
        <w:tblW w:w="0" w:type="auto"/>
        <w:tblLook w:val="04A0" w:firstRow="1" w:lastRow="0" w:firstColumn="1" w:lastColumn="0" w:noHBand="0" w:noVBand="1"/>
      </w:tblPr>
      <w:tblGrid>
        <w:gridCol w:w="2830"/>
        <w:gridCol w:w="1560"/>
        <w:gridCol w:w="1559"/>
        <w:gridCol w:w="1701"/>
        <w:gridCol w:w="1410"/>
      </w:tblGrid>
      <w:tr w:rsidR="00077F70" w:rsidTr="006E23AC">
        <w:tc>
          <w:tcPr>
            <w:tcW w:w="2830" w:type="dxa"/>
          </w:tcPr>
          <w:p w:rsidR="00077F70" w:rsidRDefault="00077F70" w:rsidP="006E23AC">
            <w:r>
              <w:t>Degré d’humidité des granulats</w:t>
            </w:r>
          </w:p>
        </w:tc>
        <w:tc>
          <w:tcPr>
            <w:tcW w:w="1560" w:type="dxa"/>
          </w:tcPr>
          <w:p w:rsidR="00077F70" w:rsidRDefault="00077F70" w:rsidP="006E23AC">
            <w:pPr>
              <w:jc w:val="center"/>
            </w:pPr>
            <w:r>
              <w:t>Sec</w:t>
            </w:r>
          </w:p>
        </w:tc>
        <w:tc>
          <w:tcPr>
            <w:tcW w:w="1559" w:type="dxa"/>
          </w:tcPr>
          <w:p w:rsidR="00077F70" w:rsidRDefault="00077F70" w:rsidP="006E23AC">
            <w:pPr>
              <w:jc w:val="center"/>
            </w:pPr>
            <w:r>
              <w:t>Humide</w:t>
            </w:r>
          </w:p>
        </w:tc>
        <w:tc>
          <w:tcPr>
            <w:tcW w:w="1701" w:type="dxa"/>
          </w:tcPr>
          <w:p w:rsidR="00077F70" w:rsidRDefault="00077F70" w:rsidP="006E23AC">
            <w:pPr>
              <w:jc w:val="center"/>
            </w:pPr>
            <w:r>
              <w:t>Mouillé</w:t>
            </w:r>
          </w:p>
        </w:tc>
        <w:tc>
          <w:tcPr>
            <w:tcW w:w="1410" w:type="dxa"/>
          </w:tcPr>
          <w:p w:rsidR="00077F70" w:rsidRDefault="00077F70" w:rsidP="006E23AC">
            <w:pPr>
              <w:jc w:val="center"/>
            </w:pPr>
            <w:r>
              <w:t>Trempé</w:t>
            </w:r>
          </w:p>
        </w:tc>
      </w:tr>
      <w:tr w:rsidR="00077F70" w:rsidTr="006E23AC">
        <w:tc>
          <w:tcPr>
            <w:tcW w:w="2830" w:type="dxa"/>
          </w:tcPr>
          <w:p w:rsidR="00077F70" w:rsidRDefault="00077F70" w:rsidP="006E23AC">
            <w:r>
              <w:t>Pourcentage d’eau</w:t>
            </w:r>
          </w:p>
        </w:tc>
        <w:tc>
          <w:tcPr>
            <w:tcW w:w="1560" w:type="dxa"/>
          </w:tcPr>
          <w:p w:rsidR="00077F70" w:rsidRDefault="00077F70" w:rsidP="006E23AC">
            <w:pPr>
              <w:jc w:val="center"/>
            </w:pPr>
            <w:r>
              <w:t>0 à 3%</w:t>
            </w:r>
          </w:p>
        </w:tc>
        <w:tc>
          <w:tcPr>
            <w:tcW w:w="1559" w:type="dxa"/>
          </w:tcPr>
          <w:p w:rsidR="00077F70" w:rsidRDefault="00077F70" w:rsidP="006E23AC">
            <w:pPr>
              <w:jc w:val="center"/>
            </w:pPr>
            <w:r>
              <w:t>4 à 7%</w:t>
            </w:r>
          </w:p>
        </w:tc>
        <w:tc>
          <w:tcPr>
            <w:tcW w:w="1701" w:type="dxa"/>
          </w:tcPr>
          <w:p w:rsidR="00077F70" w:rsidRDefault="00077F70" w:rsidP="006E23AC">
            <w:pPr>
              <w:jc w:val="center"/>
            </w:pPr>
            <w:r>
              <w:t>8 à 11%</w:t>
            </w:r>
          </w:p>
        </w:tc>
        <w:tc>
          <w:tcPr>
            <w:tcW w:w="1410" w:type="dxa"/>
          </w:tcPr>
          <w:p w:rsidR="00077F70" w:rsidRDefault="00077F70" w:rsidP="006E23AC">
            <w:pPr>
              <w:jc w:val="center"/>
            </w:pPr>
            <w:r>
              <w:t>12 à 15%</w:t>
            </w:r>
          </w:p>
        </w:tc>
      </w:tr>
    </w:tbl>
    <w:p w:rsidR="00077F70" w:rsidRDefault="00077F70" w:rsidP="00077F70">
      <w:pPr>
        <w:spacing w:before="240"/>
      </w:pPr>
      <w:r>
        <w:t>Sec :  cas rare, les granulats présentent un aspect mat et laissent la main un peu poussiéreuse.</w:t>
      </w:r>
    </w:p>
    <w:p w:rsidR="00077F70" w:rsidRDefault="00077F70" w:rsidP="00077F70">
      <w:pPr>
        <w:spacing w:before="240"/>
      </w:pPr>
      <w:r>
        <w:t>Humide : cas le plus courant, l’aspect des granulats est brillant et ils laissent la main mouillée : les grains de sable y adhèrent légèrement et on peut en faire une boulette en les comprimant.</w:t>
      </w:r>
    </w:p>
    <w:p w:rsidR="00077F70" w:rsidRDefault="00077F70" w:rsidP="00077F70">
      <w:pPr>
        <w:spacing w:before="240"/>
      </w:pPr>
      <w:r>
        <w:t>Mouillé : cas ne se présentant guère que pour des granulats subissant ou venant de subir une pluie importante.</w:t>
      </w:r>
    </w:p>
    <w:p w:rsidR="00077F70" w:rsidRDefault="00077F70" w:rsidP="00077F70">
      <w:pPr>
        <w:spacing w:before="240"/>
      </w:pPr>
      <w:r>
        <w:t>Trempé : cas rare, cela suppose des granulats complètement saturés d’eau et à peine égouttés.</w:t>
      </w:r>
    </w:p>
    <w:p w:rsidR="00077F70" w:rsidRDefault="00077F70" w:rsidP="00077F70">
      <w:pPr>
        <w:spacing w:before="240"/>
      </w:pPr>
      <w:r>
        <w:t xml:space="preserve">Une alerte est affichée par le logiciel si vous indiquez une valeur supérieure à </w:t>
      </w:r>
      <w:r w:rsidR="00F35A00">
        <w:t>15% ou une valeur à 0%.</w:t>
      </w:r>
    </w:p>
    <w:p w:rsidR="00F35A00" w:rsidRDefault="00F35A00" w:rsidP="00077F70">
      <w:pPr>
        <w:spacing w:before="240"/>
      </w:pPr>
      <w:r>
        <w:t>Si vous réalisez votre formulation sur granulats secs, ces demandes d’information n’apparaitront pas.</w:t>
      </w:r>
    </w:p>
    <w:p w:rsidR="00F35A00" w:rsidRDefault="00F35A00" w:rsidP="00077F70">
      <w:pPr>
        <w:spacing w:before="240"/>
      </w:pPr>
      <w:r>
        <w:t>Par contre, si vous formulez avec des granulats intégrant une teneur en humidité, il vous faudra préciser :</w:t>
      </w:r>
    </w:p>
    <w:p w:rsidR="00F35A00" w:rsidRDefault="00F35A00" w:rsidP="00F35A00">
      <w:pPr>
        <w:pStyle w:val="Paragraphedeliste"/>
        <w:numPr>
          <w:ilvl w:val="0"/>
          <w:numId w:val="18"/>
        </w:numPr>
        <w:spacing w:before="240"/>
      </w:pPr>
      <w:r>
        <w:t>La teneur en humidité du granulat</w:t>
      </w:r>
      <w:r w:rsidR="001D51BC">
        <w:t xml:space="preserve"> en %.</w:t>
      </w:r>
    </w:p>
    <w:p w:rsidR="00F35A00" w:rsidRDefault="00F35A00" w:rsidP="00F35A00">
      <w:pPr>
        <w:pStyle w:val="Paragraphedeliste"/>
        <w:numPr>
          <w:ilvl w:val="0"/>
          <w:numId w:val="18"/>
        </w:numPr>
        <w:spacing w:before="240"/>
      </w:pPr>
      <w:r>
        <w:lastRenderedPageBreak/>
        <w:t xml:space="preserve">Le coefficient d’absorption du granulat </w:t>
      </w:r>
      <w:r w:rsidR="001D51BC">
        <w:t>avec les fines (Passant &lt; 63µm) en %</w:t>
      </w:r>
      <w:r>
        <w:t>. Cet élément figure sur la Fiche Technique Produit du granulat qui doit vous être remise par le producteur de granulat.</w:t>
      </w:r>
    </w:p>
    <w:p w:rsidR="001D51BC" w:rsidRDefault="001D51BC" w:rsidP="001D51BC">
      <w:pPr>
        <w:spacing w:before="240"/>
      </w:pPr>
      <w:r>
        <w:t>Pour rappel :</w:t>
      </w:r>
    </w:p>
    <w:p w:rsidR="001D51BC" w:rsidRDefault="001D51BC" w:rsidP="001D51BC">
      <w:pPr>
        <w:pStyle w:val="Paragraphedeliste"/>
        <w:numPr>
          <w:ilvl w:val="0"/>
          <w:numId w:val="19"/>
        </w:numPr>
        <w:spacing w:before="240"/>
      </w:pPr>
      <w:r>
        <w:t>La méthode Dreux-</w:t>
      </w:r>
      <w:proofErr w:type="spellStart"/>
      <w:r>
        <w:t>Gorisse</w:t>
      </w:r>
      <w:proofErr w:type="spellEnd"/>
      <w:r>
        <w:t xml:space="preserve"> travaille en Eau Totale</w:t>
      </w:r>
    </w:p>
    <w:p w:rsidR="001D51BC" w:rsidRDefault="001D51BC" w:rsidP="001D51BC">
      <w:pPr>
        <w:pStyle w:val="Paragraphedeliste"/>
        <w:numPr>
          <w:ilvl w:val="0"/>
          <w:numId w:val="19"/>
        </w:numPr>
        <w:spacing w:before="240"/>
      </w:pPr>
      <w:r>
        <w:t>La méthode Baron-Ollivier travaille en Eau Efficace</w:t>
      </w:r>
    </w:p>
    <w:p w:rsidR="001D51BC" w:rsidRDefault="001D51BC" w:rsidP="001D51BC">
      <w:pPr>
        <w:spacing w:before="240"/>
      </w:pPr>
      <w:r>
        <w:t>Il faut donc faire attention quand on compare les résultats obtenus par les 2 méthodes sur la quantité d’eau. Et comparer ce qui est comparable !</w:t>
      </w:r>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077F70">
        <w:t>7 février 2026</w:t>
      </w:r>
    </w:p>
    <w:p w:rsidR="00D7782D" w:rsidRPr="00D7782D" w:rsidRDefault="00D7782D" w:rsidP="00E341E3">
      <w:pPr>
        <w:spacing w:line="240" w:lineRule="auto"/>
        <w:rPr>
          <w:u w:val="single"/>
        </w:rPr>
      </w:pPr>
      <w:r w:rsidRPr="00D7782D">
        <w:rPr>
          <w:u w:val="single"/>
        </w:rPr>
        <w:t>Bibliographie :</w:t>
      </w:r>
    </w:p>
    <w:p w:rsidR="00513B6C" w:rsidRDefault="00513B6C" w:rsidP="00C163E6">
      <w:pPr>
        <w:pStyle w:val="Paragraphedeliste"/>
        <w:numPr>
          <w:ilvl w:val="0"/>
          <w:numId w:val="1"/>
        </w:numPr>
        <w:spacing w:line="240" w:lineRule="auto"/>
      </w:pPr>
      <w:r>
        <w:t>« Nouveau guide du béton et de ses constituants » - 8</w:t>
      </w:r>
      <w:r w:rsidRPr="005B5122">
        <w:rPr>
          <w:vertAlign w:val="superscript"/>
        </w:rPr>
        <w:t>ième</w:t>
      </w:r>
      <w:r>
        <w:t xml:space="preserve"> édition 1998 3</w:t>
      </w:r>
      <w:r w:rsidRPr="00D75B78">
        <w:rPr>
          <w:vertAlign w:val="superscript"/>
        </w:rPr>
        <w:t>ième</w:t>
      </w:r>
      <w:r>
        <w:t xml:space="preserve"> tirage 2007 – G. Dreux &amp; J. FESTA- Edition Eyrolles  </w:t>
      </w:r>
    </w:p>
    <w:p w:rsidR="00F35A00" w:rsidRDefault="00F35A00" w:rsidP="00DD0318">
      <w:pPr>
        <w:pStyle w:val="Paragraphedeliste"/>
        <w:numPr>
          <w:ilvl w:val="0"/>
          <w:numId w:val="1"/>
        </w:numPr>
        <w:spacing w:line="240" w:lineRule="auto"/>
        <w:jc w:val="both"/>
      </w:pPr>
      <w:r w:rsidRPr="00DA113E">
        <w:t xml:space="preserve">« Les bétons – Bases et données pour leur formulation » écrit sous la direction de Jacques Baron et </w:t>
      </w:r>
      <w:proofErr w:type="spellStart"/>
      <w:r w:rsidRPr="00DA113E">
        <w:t>Jean-pierre</w:t>
      </w:r>
      <w:proofErr w:type="spellEnd"/>
      <w:r w:rsidRPr="00DA113E">
        <w:t xml:space="preserve"> Ollivier et paru aux Editions Eyrolles</w:t>
      </w:r>
      <w:r>
        <w:t xml:space="preserve"> 1996.</w:t>
      </w:r>
    </w:p>
    <w:p w:rsidR="00264194" w:rsidRDefault="00264194" w:rsidP="00DD0318">
      <w:pPr>
        <w:pStyle w:val="Paragraphedeliste"/>
        <w:numPr>
          <w:ilvl w:val="0"/>
          <w:numId w:val="1"/>
        </w:numPr>
        <w:spacing w:line="240" w:lineRule="auto"/>
        <w:jc w:val="both"/>
      </w:pPr>
      <w:r>
        <w:t xml:space="preserve">« Le matériau béton : Connaissances générales » - Collection Les cours de l’ENTPE – G. </w:t>
      </w:r>
      <w:proofErr w:type="spellStart"/>
      <w:r>
        <w:t>Chanvillard</w:t>
      </w:r>
      <w:proofErr w:type="spellEnd"/>
      <w:r>
        <w:t xml:space="preserve"> - Edition ENTPE ALEAS 1999</w:t>
      </w:r>
      <w:bookmarkStart w:id="0" w:name="_GoBack"/>
      <w:bookmarkEnd w:id="0"/>
    </w:p>
    <w:p w:rsidR="009B79DA" w:rsidRDefault="00513B6C" w:rsidP="00DD0318">
      <w:pPr>
        <w:pStyle w:val="Paragraphedeliste"/>
        <w:numPr>
          <w:ilvl w:val="0"/>
          <w:numId w:val="1"/>
        </w:numPr>
        <w:spacing w:line="240" w:lineRule="auto"/>
        <w:jc w:val="both"/>
      </w:pPr>
      <w:r>
        <w:t>NF EN 206-1 :2000 de Avril 2004 (tirage 2006-06) et son Annexe Nationale Française</w:t>
      </w:r>
    </w:p>
    <w:sectPr w:rsidR="009B79DA"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9165FA"/>
    <w:multiLevelType w:val="hybridMultilevel"/>
    <w:tmpl w:val="F3A23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E9352F"/>
    <w:multiLevelType w:val="hybridMultilevel"/>
    <w:tmpl w:val="14E4E7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2"/>
  </w:num>
  <w:num w:numId="8">
    <w:abstractNumId w:val="14"/>
  </w:num>
  <w:num w:numId="9">
    <w:abstractNumId w:val="4"/>
  </w:num>
  <w:num w:numId="10">
    <w:abstractNumId w:val="10"/>
  </w:num>
  <w:num w:numId="11">
    <w:abstractNumId w:val="11"/>
  </w:num>
  <w:num w:numId="12">
    <w:abstractNumId w:val="13"/>
  </w:num>
  <w:num w:numId="13">
    <w:abstractNumId w:val="15"/>
  </w:num>
  <w:num w:numId="14">
    <w:abstractNumId w:val="16"/>
  </w:num>
  <w:num w:numId="15">
    <w:abstractNumId w:val="17"/>
  </w:num>
  <w:num w:numId="16">
    <w:abstractNumId w:val="2"/>
  </w:num>
  <w:num w:numId="17">
    <w:abstractNumId w:val="3"/>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77F70"/>
    <w:rsid w:val="00092135"/>
    <w:rsid w:val="00093CF0"/>
    <w:rsid w:val="000E0511"/>
    <w:rsid w:val="000F205A"/>
    <w:rsid w:val="000F5E43"/>
    <w:rsid w:val="00113421"/>
    <w:rsid w:val="0016643A"/>
    <w:rsid w:val="001D51BC"/>
    <w:rsid w:val="0020662B"/>
    <w:rsid w:val="002528E7"/>
    <w:rsid w:val="00264194"/>
    <w:rsid w:val="00285019"/>
    <w:rsid w:val="00296481"/>
    <w:rsid w:val="002A3FC4"/>
    <w:rsid w:val="002F0BE2"/>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E3454"/>
    <w:rsid w:val="008F6CB7"/>
    <w:rsid w:val="00902D2C"/>
    <w:rsid w:val="00923F20"/>
    <w:rsid w:val="009306D1"/>
    <w:rsid w:val="00946577"/>
    <w:rsid w:val="0096305B"/>
    <w:rsid w:val="00983E27"/>
    <w:rsid w:val="009B79DA"/>
    <w:rsid w:val="00AA0DED"/>
    <w:rsid w:val="00AC4C8B"/>
    <w:rsid w:val="00AC795F"/>
    <w:rsid w:val="00B14982"/>
    <w:rsid w:val="00BA2BBB"/>
    <w:rsid w:val="00BB2E99"/>
    <w:rsid w:val="00BD179B"/>
    <w:rsid w:val="00BE392A"/>
    <w:rsid w:val="00C007D4"/>
    <w:rsid w:val="00C163E6"/>
    <w:rsid w:val="00C91564"/>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35A00"/>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A4025"/>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 w:type="table" w:styleId="Grilledutableau">
    <w:name w:val="Table Grid"/>
    <w:basedOn w:val="TableauNormal"/>
    <w:uiPriority w:val="59"/>
    <w:rsid w:val="00077F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422</Words>
  <Characters>2322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7</cp:revision>
  <dcterms:created xsi:type="dcterms:W3CDTF">2025-11-16T14:41:00Z</dcterms:created>
  <dcterms:modified xsi:type="dcterms:W3CDTF">2026-06-22T09:03:00Z</dcterms:modified>
</cp:coreProperties>
</file>